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3659" w14:textId="77777777" w:rsidR="00275D29" w:rsidRPr="00275D29" w:rsidRDefault="00275D29" w:rsidP="00275D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b/>
          <w:bCs/>
          <w:color w:val="000080"/>
          <w:sz w:val="27"/>
          <w:szCs w:val="27"/>
          <w:lang w:eastAsia="pt-PT"/>
        </w:rPr>
        <w:t>PROJETOS APROVADOS</w:t>
      </w:r>
    </w:p>
    <w:p w14:paraId="35A1C63B" w14:textId="77777777" w:rsidR="005F5E88" w:rsidRPr="006753FB" w:rsidRDefault="00275D29" w:rsidP="005F5E88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 xml:space="preserve">Foram operacionalizadas em </w:t>
      </w:r>
      <w:hyperlink r:id="rId8" w:tgtFrame="_blank" w:history="1">
        <w:r w:rsidRPr="00275D29">
          <w:rPr>
            <w:rFonts w:eastAsia="Times New Roman" w:cs="Arial"/>
            <w:color w:val="0782C1"/>
            <w:sz w:val="20"/>
            <w:szCs w:val="20"/>
            <w:u w:val="single"/>
            <w:lang w:eastAsia="pt-PT"/>
          </w:rPr>
          <w:t>Orientação Técnica</w:t>
        </w:r>
      </w:hyperlink>
      <w:r w:rsidRPr="00275D29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680A90" w:rsidRPr="006753FB">
        <w:rPr>
          <w:rFonts w:eastAsia="Times New Roman" w:cs="Times New Roman"/>
          <w:sz w:val="24"/>
          <w:szCs w:val="24"/>
          <w:lang w:eastAsia="pt-PT"/>
        </w:rPr>
        <w:t xml:space="preserve">e complementadas com a divulgação da </w:t>
      </w:r>
      <w:hyperlink r:id="rId9" w:history="1">
        <w:r w:rsidR="00680A90" w:rsidRPr="006753FB">
          <w:rPr>
            <w:rStyle w:val="Hiperligao"/>
            <w:rFonts w:eastAsia="Times New Roman" w:cs="Times New Roman"/>
            <w:sz w:val="24"/>
            <w:szCs w:val="24"/>
            <w:lang w:eastAsia="pt-PT"/>
          </w:rPr>
          <w:t>Deliberação N.º 8/2020 da CIC</w:t>
        </w:r>
      </w:hyperlink>
      <w:r w:rsidR="00680A90" w:rsidRPr="006753FB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275D29">
        <w:rPr>
          <w:rFonts w:eastAsia="Times New Roman" w:cs="Times New Roman"/>
          <w:sz w:val="24"/>
          <w:szCs w:val="24"/>
          <w:lang w:eastAsia="pt-PT"/>
        </w:rPr>
        <w:t xml:space="preserve">as seguintes medidas previstas no âmbito dos sistemas </w:t>
      </w:r>
      <w:bookmarkStart w:id="0" w:name="_GoBack"/>
      <w:r w:rsidRPr="00275D29">
        <w:rPr>
          <w:rFonts w:eastAsia="Times New Roman" w:cs="Times New Roman"/>
          <w:sz w:val="24"/>
          <w:szCs w:val="24"/>
          <w:lang w:eastAsia="pt-PT"/>
        </w:rPr>
        <w:t xml:space="preserve">de incentivos às empresas, aplicáveis aos projetos aprovados no âmbito do sistema de </w:t>
      </w:r>
      <w:bookmarkEnd w:id="0"/>
      <w:r w:rsidRPr="00275D29">
        <w:rPr>
          <w:rFonts w:eastAsia="Times New Roman" w:cs="Times New Roman"/>
          <w:sz w:val="24"/>
          <w:szCs w:val="24"/>
          <w:lang w:eastAsia="pt-PT"/>
        </w:rPr>
        <w:t>incentivos do Portugal 2020 e aos projetos encerrados no âmbito do sistema de incentivos do QREN e do QCA III com planos de reembolso ativos, que verifiquem uma ou várias das situações: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I - Aceleração do pagamento de incentivos às empresas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Os pedidos de </w:t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reembolso de incentivo</w:t>
      </w:r>
      <w:r w:rsidRPr="00275D29">
        <w:rPr>
          <w:rFonts w:eastAsia="Times New Roman" w:cs="Times New Roman"/>
          <w:sz w:val="24"/>
          <w:szCs w:val="24"/>
          <w:lang w:eastAsia="pt-PT"/>
        </w:rPr>
        <w:t xml:space="preserve"> apresentados pelas empresas serão liquidados no mais curto prazo possível. Este processo decorrerá sobre os pedidos de reembolso de incentivo já apresentados ou que venham a sê-lo, não sendo necessária qualquer solicitação da empresa.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>Desta forma, serão mobilizados meios e adotados procedimentos de facilitação administrativa para a aceleração de pagamentos no âmbito de sistemas de incentivos, incluindo, sempre que necessário e possível, o adiantamento simplificado de 80% de incentivo associado à despesa apresentada no pedido de reembolso do incentivo, usando o mecanismo excecional previsto na norma de pagamentos</w:t>
      </w:r>
      <w:r w:rsidR="005F5E88" w:rsidRPr="006753FB">
        <w:rPr>
          <w:rFonts w:eastAsia="Times New Roman" w:cs="Times New Roman"/>
          <w:sz w:val="24"/>
          <w:szCs w:val="24"/>
          <w:lang w:eastAsia="pt-PT"/>
        </w:rPr>
        <w:t>:</w:t>
      </w:r>
    </w:p>
    <w:p w14:paraId="1A3E8D5E" w14:textId="77777777" w:rsidR="005F5E88" w:rsidRPr="006753FB" w:rsidRDefault="005F5E88" w:rsidP="005F5E88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14:paraId="6CC21102" w14:textId="77777777" w:rsidR="00275D29" w:rsidRPr="006753FB" w:rsidRDefault="00275D29" w:rsidP="005F5E88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6753FB">
        <w:rPr>
          <w:rFonts w:eastAsia="Times New Roman" w:cs="Times New Roman"/>
          <w:sz w:val="24"/>
          <w:szCs w:val="24"/>
          <w:lang w:eastAsia="pt-PT"/>
        </w:rPr>
        <w:t>o adiantamento simplificado referido anterior será efetuado após verificação do pedido de pagamento e do preenchimento das condições consideradas indispensáveis para o pagamento;</w:t>
      </w:r>
    </w:p>
    <w:p w14:paraId="6C136CF7" w14:textId="77777777" w:rsidR="00275D29" w:rsidRPr="006753FB" w:rsidRDefault="00275D29" w:rsidP="0027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os adiantamentos simplificados serão posteriormente regularizados pelas AG ou OI no prazo de 60 dias úteis</w:t>
      </w:r>
    </w:p>
    <w:p w14:paraId="404827A8" w14:textId="77777777" w:rsidR="005F5E88" w:rsidRPr="006753FB" w:rsidRDefault="005F5E88" w:rsidP="005F5E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No caso de pagamento de pedido do saldo final, as AG ou os OI devem, no cálculo do adiantamento aplicar uma redução de 15% no valor do </w:t>
      </w:r>
      <w:proofErr w:type="gramStart"/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incentivo  apurado</w:t>
      </w:r>
      <w:proofErr w:type="gramEnd"/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relativo a esse pedido de pagamento.</w:t>
      </w:r>
    </w:p>
    <w:p w14:paraId="2B262F79" w14:textId="77777777" w:rsidR="005F5E88" w:rsidRPr="00275D29" w:rsidRDefault="005F5E88" w:rsidP="005F5E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O somatório de todos os pagamentos, incluindo os adiantamentos acima referidos, não poderá exceder 95% do incentivo total aprovado à data ou 85% para as operações financiadas pelo </w:t>
      </w:r>
      <w:r w:rsidRPr="006753FB">
        <w:rPr>
          <w:rFonts w:eastAsia="Times New Roman" w:cs="Times New Roman"/>
          <w:b/>
          <w:bCs/>
          <w:sz w:val="24"/>
          <w:szCs w:val="24"/>
          <w:highlight w:val="yellow"/>
          <w:lang w:eastAsia="pt-PT"/>
        </w:rPr>
        <w:t>FSE</w:t>
      </w: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, devendo o remanescente do apoio ser liquidado após o encerramento das operações.</w:t>
      </w:r>
    </w:p>
    <w:p w14:paraId="72F80DD2" w14:textId="368DD927" w:rsidR="00275D29" w:rsidRPr="00275D29" w:rsidRDefault="00275D29" w:rsidP="00275D29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II - Diferimento das prestações de incentivos reembolsáveis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>As prestações vincendas até 30 de setembro de 2020 de incentivos reembolsáveis serão diferidas por 12 meses, sem encargos de juros ou outra penalidade.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>Este diferimento aplica-se também às prestações vincendas relativas a planos de regularização acordados e no âmbito dos projetos do sistema de incentivos QREN e do QCAII</w:t>
      </w:r>
      <w:r w:rsidR="009B36B3" w:rsidRPr="006753FB">
        <w:rPr>
          <w:rFonts w:eastAsia="Times New Roman" w:cs="Times New Roman"/>
          <w:sz w:val="24"/>
          <w:szCs w:val="24"/>
          <w:lang w:eastAsia="pt-PT"/>
        </w:rPr>
        <w:t>I</w:t>
      </w:r>
      <w:r w:rsidRPr="00275D29">
        <w:rPr>
          <w:rFonts w:eastAsia="Times New Roman" w:cs="Times New Roman"/>
          <w:sz w:val="24"/>
          <w:szCs w:val="24"/>
          <w:lang w:eastAsia="pt-PT"/>
        </w:rPr>
        <w:t xml:space="preserve"> e aos planos de reembolsos estabelecidos aquando do encerramento dos projetos destes programas.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O deferimento será automático, não havendo necessidade de qualquer pedido por </w:t>
      </w:r>
      <w:r w:rsidRPr="00275D29">
        <w:rPr>
          <w:rFonts w:eastAsia="Times New Roman" w:cs="Times New Roman"/>
          <w:sz w:val="24"/>
          <w:szCs w:val="24"/>
          <w:lang w:eastAsia="pt-PT"/>
        </w:rPr>
        <w:lastRenderedPageBreak/>
        <w:t>parte das empresas, e será comunicado individualmente às empresas pelos Organismos Intermédios.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III - Despesas suportadas em ações canceladas ou adiadas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>A elegibilidade para reembolso das despesas suportadas em iniciativas ou ações canceladas ou adiadas por razões relacionadas com a COVID-19, previstas em projetos do Portugal 2020, nomeadamente nas áreas da internacionalização e da formação profissional.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As referidas despesas, comprovadamente suportadas pelos beneficiários e após deduzido qualquer tipo de indemnização proveniente de seguro ou outro tipo de cobertura de risco, podem ser elegíveis para reembolso nos pedidos de pagamento, quando: </w:t>
      </w:r>
    </w:p>
    <w:p w14:paraId="31371B77" w14:textId="77777777" w:rsidR="00275D29" w:rsidRPr="00275D29" w:rsidRDefault="00275D29" w:rsidP="00275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Forem apresentados os comprovativos do cancelamento ou adiamento pelas entidades organizadoras dos eventos/ iniciativas/ ações de formação cancelados ou adiados, ou;</w:t>
      </w:r>
    </w:p>
    <w:p w14:paraId="2A25668B" w14:textId="77777777" w:rsidR="00275D29" w:rsidRPr="00275D29" w:rsidRDefault="00275D29" w:rsidP="00275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For fundamentada a não realização, tendo por base as recomendações das autoridades sanitárias para contenção/ limitação das viagens internacionais.</w:t>
      </w:r>
    </w:p>
    <w:p w14:paraId="77DBB2D1" w14:textId="77777777" w:rsidR="00275D29" w:rsidRPr="00275D29" w:rsidRDefault="00275D29" w:rsidP="00275D29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As empresas não necessitarão de efetuar qualquer pedido, devendo fornecer a informação relativa aos motivos indicados aquando da apresentação dos pedidos de reembolso de incentivo.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IV - Reprogramação de projetos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>Os impactos negativos decorrentes da COVID-19 serão considerados motivos de força maior não imputáveis aos beneficiários na avaliação dos objetivos contratualizados no âmbito dos sistemas de incentivos do Portugal 2020, nas seguintes condições: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     </w:t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- Projetos em fase de investimento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       Para os projetos que se encontrem nesta fase, são aceites alterações ou ajustamentos ao nível de: </w:t>
      </w:r>
    </w:p>
    <w:p w14:paraId="4267F157" w14:textId="0AA0978A" w:rsidR="00275D29" w:rsidRPr="006753FB" w:rsidRDefault="00275D29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Configuração do investimento, alterações ao projeto de investimento inicial, como são exemplos a substituição de equipamentos ou a reconfiguração do investimento;</w:t>
      </w:r>
    </w:p>
    <w:p w14:paraId="4DE23710" w14:textId="52195380" w:rsidR="00606E2A" w:rsidRPr="006753FB" w:rsidRDefault="0076536E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  <w:lang w:eastAsia="pt-PT"/>
        </w:rPr>
      </w:pP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Possibilidade de a duração do projeto ultrapassar os limites temporais aprovados ou previstos em aviso ou em regulamentação específica</w:t>
      </w:r>
      <w:r w:rsidR="008B0BCB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, por motivos de suspensão das atividades cofinanciadas relacionada com o COVID-19</w:t>
      </w:r>
      <w:r w:rsidR="006F6027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, através de pedido de reprogramação</w:t>
      </w:r>
      <w:r w:rsidR="006A76CF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. Este pedido pode ser acompanhado por uma reprogramação financeira, devi</w:t>
      </w:r>
      <w:r w:rsidR="00254828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damente fundamentada;</w:t>
      </w:r>
    </w:p>
    <w:p w14:paraId="55ABB4E9" w14:textId="5CD84461" w:rsidR="006D3A95" w:rsidRPr="00275D29" w:rsidRDefault="006D3A95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  <w:lang w:eastAsia="pt-PT"/>
        </w:rPr>
      </w:pP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Se em resultado da reprogramação financeira</w:t>
      </w:r>
      <w:r w:rsidR="00AD06F9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forem ultrapassados os custos ou apoios máximos, nomeadamente os previstos</w:t>
      </w:r>
      <w:r w:rsidR="00845B48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em regulamentação, comum ou </w:t>
      </w:r>
      <w:r w:rsidR="00845B48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lastRenderedPageBreak/>
        <w:t>específica</w:t>
      </w:r>
      <w:r w:rsidR="00FF1083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, ou em sede de aviso, estes limites</w:t>
      </w:r>
      <w:r w:rsidR="002A6056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podem ser derrogados por decisão fundamentada </w:t>
      </w:r>
      <w:r w:rsidR="00493908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da respetiva AG;</w:t>
      </w:r>
    </w:p>
    <w:p w14:paraId="28A2625C" w14:textId="6F843369" w:rsidR="00275D29" w:rsidRPr="006753FB" w:rsidRDefault="00275D29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Calendário de realização, admitindo-se a fixação de uma calendarização compatível com novas expetativas para a realização do projeto, sem qualquer penalidade, uma vez que este ajustamento ocorre por motivos de força maior. O momento de avaliação dos resultados, será ajustado em função do novo calendário de realização do projeto;</w:t>
      </w:r>
    </w:p>
    <w:p w14:paraId="3DB54538" w14:textId="568A003D" w:rsidR="008F29B3" w:rsidRPr="00275D29" w:rsidRDefault="008F29B3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  <w:lang w:eastAsia="pt-PT"/>
        </w:rPr>
      </w:pPr>
      <w:r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>Possibilidade dos prazos fixados</w:t>
      </w:r>
      <w:r w:rsidR="007C7971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em regulamentação especifica ou em avisos, para efeitos de início, interrupção ou suspensão dos projetos, bem como os estabelecidos para a pronúncia dos beneficiários, em sede de esclarecimentos ou alegações em contrário, serem prorrogados, a pedido fundamentado dos mesmos, pela respetiva AG ou pelo OI com competências</w:t>
      </w:r>
      <w:r w:rsidR="00861C61" w:rsidRPr="006753FB">
        <w:rPr>
          <w:rFonts w:eastAsia="Times New Roman" w:cs="Times New Roman"/>
          <w:sz w:val="24"/>
          <w:szCs w:val="24"/>
          <w:highlight w:val="yellow"/>
          <w:lang w:eastAsia="pt-PT"/>
        </w:rPr>
        <w:t xml:space="preserve"> delegadas de gestão.</w:t>
      </w:r>
    </w:p>
    <w:p w14:paraId="78A42F65" w14:textId="4EE2A698" w:rsidR="00275D29" w:rsidRPr="006753FB" w:rsidRDefault="00275D29" w:rsidP="00275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Resultados contratados, nomeadamente nos indicadores de realização e resultado e o valor das metas aprovadas relacionadas com objetivos de criação de postos de trabalho, volume de negócios, nacional e internacional, valor acrescentado bruto;</w:t>
      </w:r>
    </w:p>
    <w:p w14:paraId="4DBB3CF0" w14:textId="77777777" w:rsidR="00275D29" w:rsidRPr="00275D29" w:rsidRDefault="00275D29" w:rsidP="00275D29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br/>
      </w:r>
      <w:r w:rsidRPr="00275D29">
        <w:rPr>
          <w:rFonts w:eastAsia="Times New Roman" w:cs="Times New Roman"/>
          <w:b/>
          <w:bCs/>
          <w:sz w:val="24"/>
          <w:szCs w:val="24"/>
          <w:lang w:eastAsia="pt-PT"/>
        </w:rPr>
        <w:t>     - Projetos física e financeiramente concluídos</w:t>
      </w:r>
      <w:r w:rsidRPr="00275D29">
        <w:rPr>
          <w:rFonts w:eastAsia="Times New Roman" w:cs="Times New Roman"/>
          <w:sz w:val="24"/>
          <w:szCs w:val="24"/>
          <w:lang w:eastAsia="pt-PT"/>
        </w:rPr>
        <w:br/>
        <w:t xml:space="preserve">       Para os projetos que se encontrem nesta fase, são aceites alterações ou ajustamentos ao nível de: </w:t>
      </w:r>
    </w:p>
    <w:p w14:paraId="231D97C9" w14:textId="77777777" w:rsidR="00275D29" w:rsidRPr="00275D29" w:rsidRDefault="00275D29" w:rsidP="00275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Valores das metas aprovadas relacionadas, nomeadamente, com objetivos sobre a criação de postos de trabalho, volume de negócios, nacional e internacional, valor acrescentado bruto;</w:t>
      </w:r>
    </w:p>
    <w:p w14:paraId="4154B045" w14:textId="77777777" w:rsidR="00275D29" w:rsidRPr="00275D29" w:rsidRDefault="00275D29" w:rsidP="00275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275D29">
        <w:rPr>
          <w:rFonts w:eastAsia="Times New Roman" w:cs="Times New Roman"/>
          <w:sz w:val="24"/>
          <w:szCs w:val="24"/>
          <w:lang w:eastAsia="pt-PT"/>
        </w:rPr>
        <w:t>Momento de avaliação dos resultados, admitindo-se a prorrogação do ano cruzeiro referido na alínea b) do n.º 2 do anexo D da Portaria n.º 57-A/2015, na sua atual redação, por mais um ano, por motivos de força maior.</w:t>
      </w:r>
    </w:p>
    <w:p w14:paraId="6FADF294" w14:textId="2C7FC621" w:rsidR="006753FB" w:rsidRPr="006753FB" w:rsidRDefault="00275D29" w:rsidP="00275D29">
      <w:pPr>
        <w:rPr>
          <w:b/>
          <w:bCs/>
        </w:rPr>
      </w:pPr>
      <w:r w:rsidRPr="006753FB">
        <w:rPr>
          <w:rFonts w:eastAsia="Times New Roman" w:cs="Times New Roman"/>
          <w:sz w:val="24"/>
          <w:szCs w:val="24"/>
          <w:lang w:eastAsia="pt-PT"/>
        </w:rPr>
        <w:t> </w:t>
      </w:r>
      <w:r w:rsidRPr="006753FB">
        <w:rPr>
          <w:rFonts w:eastAsia="Times New Roman" w:cs="Times New Roman"/>
          <w:sz w:val="24"/>
          <w:szCs w:val="24"/>
          <w:lang w:eastAsia="pt-PT"/>
        </w:rPr>
        <w:br/>
        <w:t>Os pedidos de reprogramação são efetuados pelas empresas no Balcão 2020/PAS, acompanhados de fundamentação relativa às alterações solicitadas e da documentação relevante. Nestes pedidos, devem ficar evidenciados os impactos negativos decorrentes da COVID-19 para a empresa beneficiária, que justificam os ajustamentos solicitados.</w:t>
      </w:r>
      <w:r w:rsidRPr="006753FB">
        <w:rPr>
          <w:rFonts w:eastAsia="Times New Roman" w:cs="Times New Roman"/>
          <w:sz w:val="24"/>
          <w:szCs w:val="24"/>
          <w:lang w:eastAsia="pt-PT"/>
        </w:rPr>
        <w:br/>
      </w:r>
      <w:r w:rsidRPr="006753FB">
        <w:rPr>
          <w:rFonts w:eastAsia="Times New Roman" w:cs="Times New Roman"/>
          <w:sz w:val="24"/>
          <w:szCs w:val="24"/>
          <w:lang w:eastAsia="pt-PT"/>
        </w:rPr>
        <w:br/>
        <w:t>Salienta-se que a flexibilidade a atribuir será proporcional e a considerada necessária para que o beneficiário possa regressar à situação anterior.</w:t>
      </w:r>
      <w:r w:rsidRPr="006753FB">
        <w:rPr>
          <w:rFonts w:eastAsia="Times New Roman" w:cs="Times New Roman"/>
          <w:sz w:val="24"/>
          <w:szCs w:val="24"/>
          <w:lang w:eastAsia="pt-PT"/>
        </w:rPr>
        <w:br/>
        <w:t> </w:t>
      </w:r>
      <w:r w:rsidRPr="006753FB">
        <w:rPr>
          <w:rFonts w:eastAsia="Times New Roman" w:cs="Times New Roman"/>
          <w:sz w:val="24"/>
          <w:szCs w:val="24"/>
          <w:lang w:eastAsia="pt-PT"/>
        </w:rPr>
        <w:br/>
        <w:t>O processo de apreciação e decisão destes pedidos será avaliado e decidido com caráter prioritário no prazo de 35 dias úteis, salvo se estiver dependente de algum elemento</w:t>
      </w:r>
      <w:r w:rsidRPr="00275D2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fundamental à adoção da decisão a fornecer pela empresa após pedido.</w:t>
      </w:r>
      <w:r w:rsidRPr="00275D2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 </w:t>
      </w:r>
      <w:r w:rsidRPr="00275D2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275D2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6753FB" w:rsidRPr="008A6F38">
        <w:rPr>
          <w:b/>
          <w:bCs/>
          <w:highlight w:val="yellow"/>
        </w:rPr>
        <w:t>V</w:t>
      </w:r>
      <w:r w:rsidR="0096301E" w:rsidRPr="008A6F38">
        <w:rPr>
          <w:b/>
          <w:bCs/>
          <w:highlight w:val="yellow"/>
        </w:rPr>
        <w:t xml:space="preserve"> </w:t>
      </w:r>
      <w:r w:rsidR="006753FB" w:rsidRPr="008A6F38">
        <w:rPr>
          <w:b/>
          <w:bCs/>
          <w:highlight w:val="yellow"/>
        </w:rPr>
        <w:t>- FSE</w:t>
      </w:r>
    </w:p>
    <w:p w14:paraId="54D6A59A" w14:textId="77777777" w:rsidR="006753FB" w:rsidRDefault="006753FB" w:rsidP="00275D29"/>
    <w:p w14:paraId="68FB0E05" w14:textId="7F3FFCEA" w:rsidR="00336C0E" w:rsidRPr="008A6F38" w:rsidRDefault="00104442" w:rsidP="00275D29">
      <w:pPr>
        <w:rPr>
          <w:highlight w:val="yellow"/>
        </w:rPr>
      </w:pPr>
      <w:r w:rsidRPr="008A6F38">
        <w:rPr>
          <w:highlight w:val="yellow"/>
        </w:rPr>
        <w:t>Nas ofertas reguladas, a manutenção do apoio através do Fundo Social Europeu</w:t>
      </w:r>
      <w:r w:rsidR="002C4717" w:rsidRPr="008A6F38">
        <w:rPr>
          <w:highlight w:val="yellow"/>
        </w:rPr>
        <w:t>, até ao final da res</w:t>
      </w:r>
      <w:r w:rsidR="006C07BC" w:rsidRPr="008A6F38">
        <w:rPr>
          <w:highlight w:val="yellow"/>
        </w:rPr>
        <w:t>p</w:t>
      </w:r>
      <w:r w:rsidR="002C4717" w:rsidRPr="008A6F38">
        <w:rPr>
          <w:highlight w:val="yellow"/>
        </w:rPr>
        <w:t>etiva operação, quando as condições associadas ao número mínimo de alunos ou formandos de turmas ou cursos</w:t>
      </w:r>
      <w:r w:rsidR="00A62EFE" w:rsidRPr="008A6F38">
        <w:rPr>
          <w:highlight w:val="yellow"/>
        </w:rPr>
        <w:t>, ou das metodologias de formação a ministrar</w:t>
      </w:r>
      <w:r w:rsidR="009252A6" w:rsidRPr="008A6F38">
        <w:rPr>
          <w:highlight w:val="yellow"/>
        </w:rPr>
        <w:t xml:space="preserve">, nomeadamente quando houver recurso a formação à distância, vierem a ser alteradas pelos </w:t>
      </w:r>
      <w:r w:rsidR="006C07BC" w:rsidRPr="008A6F38">
        <w:rPr>
          <w:highlight w:val="yellow"/>
        </w:rPr>
        <w:t>competentes organismos responsáveis por essas ofertas formativas.</w:t>
      </w:r>
    </w:p>
    <w:p w14:paraId="204A77A1" w14:textId="34162EBC" w:rsidR="000B6E24" w:rsidRPr="008A6F38" w:rsidRDefault="002A5D68" w:rsidP="00275D29">
      <w:pPr>
        <w:rPr>
          <w:highlight w:val="yellow"/>
        </w:rPr>
      </w:pPr>
      <w:r w:rsidRPr="008A6F38">
        <w:rPr>
          <w:highlight w:val="yellow"/>
        </w:rPr>
        <w:t xml:space="preserve">Nas ações de </w:t>
      </w:r>
      <w:r w:rsidR="00033B63" w:rsidRPr="008A6F38">
        <w:rPr>
          <w:highlight w:val="yellow"/>
        </w:rPr>
        <w:t>F</w:t>
      </w:r>
      <w:r w:rsidRPr="008A6F38">
        <w:rPr>
          <w:highlight w:val="yellow"/>
        </w:rPr>
        <w:t>ormação Profissional</w:t>
      </w:r>
      <w:r w:rsidR="00797811" w:rsidRPr="008A6F38">
        <w:rPr>
          <w:highlight w:val="yellow"/>
        </w:rPr>
        <w:t>, reabilitação profissional, medidas ativas de emprego e outras medidas não formativas</w:t>
      </w:r>
      <w:r w:rsidR="00E52161" w:rsidRPr="008A6F38">
        <w:rPr>
          <w:highlight w:val="yellow"/>
        </w:rPr>
        <w:t>, apoiadas através do FSE:</w:t>
      </w:r>
    </w:p>
    <w:p w14:paraId="520BB624" w14:textId="7157D3AB" w:rsidR="00E52161" w:rsidRPr="008A6F38" w:rsidRDefault="0066555E" w:rsidP="00E52161">
      <w:pPr>
        <w:pStyle w:val="PargrafodaLista"/>
        <w:numPr>
          <w:ilvl w:val="0"/>
          <w:numId w:val="5"/>
        </w:numPr>
        <w:rPr>
          <w:highlight w:val="yellow"/>
        </w:rPr>
      </w:pPr>
      <w:r w:rsidRPr="008A6F38">
        <w:rPr>
          <w:highlight w:val="yellow"/>
        </w:rPr>
        <w:t xml:space="preserve">Quando haja lugar à suspensão das ações ou </w:t>
      </w:r>
      <w:r w:rsidR="004A0875" w:rsidRPr="008A6F38">
        <w:rPr>
          <w:highlight w:val="yellow"/>
        </w:rPr>
        <w:t>a</w:t>
      </w:r>
      <w:r w:rsidRPr="008A6F38">
        <w:rPr>
          <w:highlight w:val="yellow"/>
        </w:rPr>
        <w:t>tividades em curso e sempre que não seja possível manter as a</w:t>
      </w:r>
      <w:r w:rsidR="008A103A" w:rsidRPr="008A6F38">
        <w:rPr>
          <w:highlight w:val="yellow"/>
        </w:rPr>
        <w:t>ções ou atividades, nomeadamente através de formação à dist</w:t>
      </w:r>
      <w:r w:rsidR="004A0875" w:rsidRPr="008A6F38">
        <w:rPr>
          <w:highlight w:val="yellow"/>
        </w:rPr>
        <w:t>â</w:t>
      </w:r>
      <w:r w:rsidR="008A103A" w:rsidRPr="008A6F38">
        <w:rPr>
          <w:highlight w:val="yellow"/>
        </w:rPr>
        <w:t>ncia, mantém-se a elegibilidade, nesse período</w:t>
      </w:r>
      <w:r w:rsidR="004A0875" w:rsidRPr="008A6F38">
        <w:rPr>
          <w:highlight w:val="yellow"/>
        </w:rPr>
        <w:t>, das bolsas de formação e demais apoios sociais.</w:t>
      </w:r>
      <w:r w:rsidR="00604040" w:rsidRPr="008A6F38">
        <w:rPr>
          <w:highlight w:val="yellow"/>
        </w:rPr>
        <w:t>;</w:t>
      </w:r>
    </w:p>
    <w:p w14:paraId="5160490C" w14:textId="3CE0B316" w:rsidR="00604040" w:rsidRPr="008A6F38" w:rsidRDefault="00604040" w:rsidP="00E52161">
      <w:pPr>
        <w:pStyle w:val="PargrafodaLista"/>
        <w:numPr>
          <w:ilvl w:val="0"/>
          <w:numId w:val="5"/>
        </w:numPr>
        <w:rPr>
          <w:highlight w:val="yellow"/>
        </w:rPr>
      </w:pPr>
      <w:r w:rsidRPr="008A6F38">
        <w:rPr>
          <w:highlight w:val="yellow"/>
        </w:rPr>
        <w:t>Mantêm-se ainda elegíveis, os custos internos associados às operações de formação, de rea</w:t>
      </w:r>
      <w:r w:rsidR="00625021" w:rsidRPr="008A6F38">
        <w:rPr>
          <w:highlight w:val="yellow"/>
        </w:rPr>
        <w:t xml:space="preserve">bilitação e não formativas, financiadas pelo </w:t>
      </w:r>
      <w:proofErr w:type="spellStart"/>
      <w:r w:rsidR="00625021" w:rsidRPr="008A6F38">
        <w:rPr>
          <w:highlight w:val="yellow"/>
        </w:rPr>
        <w:t>fse</w:t>
      </w:r>
      <w:proofErr w:type="spellEnd"/>
      <w:r w:rsidR="00625021" w:rsidRPr="008A6F38">
        <w:rPr>
          <w:highlight w:val="yellow"/>
        </w:rPr>
        <w:t xml:space="preserve">, quando imprescindíveis e </w:t>
      </w:r>
      <w:r w:rsidR="0087003C" w:rsidRPr="008A6F38">
        <w:rPr>
          <w:highlight w:val="yellow"/>
        </w:rPr>
        <w:t>i</w:t>
      </w:r>
      <w:r w:rsidR="00625021" w:rsidRPr="008A6F38">
        <w:rPr>
          <w:highlight w:val="yellow"/>
        </w:rPr>
        <w:t xml:space="preserve">nadiáveis à continuidade da </w:t>
      </w:r>
      <w:r w:rsidR="009C5BBE" w:rsidRPr="008A6F38">
        <w:rPr>
          <w:highlight w:val="yellow"/>
        </w:rPr>
        <w:t>atividade ou ainda da sua retoma por parte do beneficiário, desde que apreciado</w:t>
      </w:r>
      <w:r w:rsidR="0087003C" w:rsidRPr="008A6F38">
        <w:rPr>
          <w:highlight w:val="yellow"/>
        </w:rPr>
        <w:t xml:space="preserve"> o nexo de causalidade e imprescindibilidade pela AG</w:t>
      </w:r>
      <w:r w:rsidR="00A626FD" w:rsidRPr="008A6F38">
        <w:rPr>
          <w:highlight w:val="yellow"/>
        </w:rPr>
        <w:t>.</w:t>
      </w:r>
    </w:p>
    <w:p w14:paraId="13431754" w14:textId="2C350CCB" w:rsidR="0096301E" w:rsidRPr="008A6F38" w:rsidRDefault="0096301E" w:rsidP="0096301E">
      <w:pPr>
        <w:rPr>
          <w:highlight w:val="yellow"/>
        </w:rPr>
      </w:pPr>
    </w:p>
    <w:p w14:paraId="0A3898D2" w14:textId="51F796C4" w:rsidR="0096301E" w:rsidRPr="008A6F38" w:rsidRDefault="0096301E" w:rsidP="0096301E">
      <w:pPr>
        <w:rPr>
          <w:b/>
          <w:bCs/>
          <w:highlight w:val="yellow"/>
        </w:rPr>
      </w:pPr>
      <w:r w:rsidRPr="008A6F38">
        <w:rPr>
          <w:b/>
          <w:bCs/>
          <w:highlight w:val="yellow"/>
        </w:rPr>
        <w:t>VI – Suspensão de medidas em curso</w:t>
      </w:r>
    </w:p>
    <w:p w14:paraId="68693868" w14:textId="65453DF3" w:rsidR="0096301E" w:rsidRPr="008A6F38" w:rsidRDefault="0096301E" w:rsidP="0096301E">
      <w:pPr>
        <w:rPr>
          <w:highlight w:val="yellow"/>
        </w:rPr>
      </w:pPr>
      <w:r w:rsidRPr="008A6F38">
        <w:rPr>
          <w:highlight w:val="yellow"/>
        </w:rPr>
        <w:t>Nesta fase de emergência, s</w:t>
      </w:r>
      <w:r w:rsidR="008C08FF" w:rsidRPr="008A6F38">
        <w:rPr>
          <w:highlight w:val="yellow"/>
        </w:rPr>
        <w:t>ão suspensas as seguintes medidas com consequências negativas para o beneficiário:</w:t>
      </w:r>
    </w:p>
    <w:p w14:paraId="2C6672AA" w14:textId="2D6CDDB7" w:rsidR="008C08FF" w:rsidRPr="008A6F38" w:rsidRDefault="005F79CC" w:rsidP="005F79CC">
      <w:pPr>
        <w:pStyle w:val="PargrafodaLista"/>
        <w:numPr>
          <w:ilvl w:val="0"/>
          <w:numId w:val="6"/>
        </w:numPr>
        <w:rPr>
          <w:highlight w:val="yellow"/>
        </w:rPr>
      </w:pPr>
      <w:r w:rsidRPr="008A6F38">
        <w:rPr>
          <w:highlight w:val="yellow"/>
        </w:rPr>
        <w:t>Ações decorrentes da implementação da Bolsa de Recuperação, devendo manter-se o processo de monitorização das situações desconformes;</w:t>
      </w:r>
    </w:p>
    <w:p w14:paraId="4482861A" w14:textId="5E51D265" w:rsidR="005F79CC" w:rsidRPr="008A6F38" w:rsidRDefault="005F79CC" w:rsidP="005F79CC">
      <w:pPr>
        <w:pStyle w:val="PargrafodaLista"/>
        <w:numPr>
          <w:ilvl w:val="0"/>
          <w:numId w:val="6"/>
        </w:numPr>
        <w:rPr>
          <w:highlight w:val="yellow"/>
        </w:rPr>
      </w:pPr>
      <w:r w:rsidRPr="008A6F38">
        <w:rPr>
          <w:highlight w:val="yellow"/>
        </w:rPr>
        <w:t>Notificações</w:t>
      </w:r>
      <w:r w:rsidR="00622483" w:rsidRPr="008A6F38">
        <w:rPr>
          <w:highlight w:val="yellow"/>
        </w:rPr>
        <w:t xml:space="preserve"> relativas a processos de recuperação dos apoios, previstos no </w:t>
      </w:r>
      <w:proofErr w:type="gramStart"/>
      <w:r w:rsidR="00622483" w:rsidRPr="008A6F38">
        <w:rPr>
          <w:highlight w:val="yellow"/>
        </w:rPr>
        <w:t>artigo.º</w:t>
      </w:r>
      <w:proofErr w:type="gramEnd"/>
      <w:r w:rsidR="00622483" w:rsidRPr="008A6F38">
        <w:rPr>
          <w:highlight w:val="yellow"/>
        </w:rPr>
        <w:t xml:space="preserve"> do DL nº 159/2014</w:t>
      </w:r>
      <w:r w:rsidR="0029434E" w:rsidRPr="008A6F38">
        <w:rPr>
          <w:highlight w:val="yellow"/>
        </w:rPr>
        <w:t>, na sua redação atual;</w:t>
      </w:r>
    </w:p>
    <w:p w14:paraId="04016601" w14:textId="33ABD16F" w:rsidR="0029434E" w:rsidRDefault="0029434E" w:rsidP="005F79CC">
      <w:pPr>
        <w:pStyle w:val="PargrafodaLista"/>
        <w:numPr>
          <w:ilvl w:val="0"/>
          <w:numId w:val="6"/>
        </w:numPr>
        <w:rPr>
          <w:highlight w:val="yellow"/>
        </w:rPr>
      </w:pPr>
      <w:r w:rsidRPr="008A6F38">
        <w:rPr>
          <w:highlight w:val="yellow"/>
        </w:rPr>
        <w:t>Introdução de uma moratória automática no prazo de recuperação de dívidas dos beneficiários, de 90 dias</w:t>
      </w:r>
      <w:r w:rsidR="00995546" w:rsidRPr="008A6F38">
        <w:rPr>
          <w:highlight w:val="yellow"/>
        </w:rPr>
        <w:t xml:space="preserve"> úteis, que contempla os processos de recuperação por compensação, bem como os processos já notificados e os planos prestacionais aprovados.</w:t>
      </w:r>
    </w:p>
    <w:p w14:paraId="3ECD16E8" w14:textId="77777777" w:rsidR="0040569E" w:rsidRDefault="0040569E" w:rsidP="0040569E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000080"/>
        </w:rPr>
        <w:t>NOVAS CANDIDATURAS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 </w:t>
      </w:r>
    </w:p>
    <w:p w14:paraId="5CF49E38" w14:textId="77777777" w:rsidR="0040569E" w:rsidRDefault="0040569E" w:rsidP="00405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Aviso n.º 07/SI/2020 – Inovação Produtiva | Outras Regiões - </w:t>
      </w:r>
      <w:r>
        <w:rPr>
          <w:rStyle w:val="Forte"/>
          <w:rFonts w:ascii="Arial" w:hAnsi="Arial" w:cs="Arial"/>
          <w:color w:val="800000"/>
          <w:sz w:val="21"/>
          <w:szCs w:val="21"/>
        </w:rPr>
        <w:t>NOVO PRAZO 04/05/2020</w:t>
      </w:r>
    </w:p>
    <w:p w14:paraId="2F669F50" w14:textId="77777777" w:rsidR="0040569E" w:rsidRDefault="0040569E" w:rsidP="00405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Aviso n.º 08/SI/2020 – Inovação Produtiva | Territórios de Baixa Densidade -</w:t>
      </w: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  <w:r>
        <w:rPr>
          <w:rStyle w:val="Forte"/>
          <w:rFonts w:ascii="Arial" w:hAnsi="Arial" w:cs="Arial"/>
          <w:color w:val="800000"/>
          <w:sz w:val="21"/>
          <w:szCs w:val="21"/>
        </w:rPr>
        <w:t>NOVO PRAZO 13/07/2020</w:t>
      </w:r>
    </w:p>
    <w:p w14:paraId="0EFA9928" w14:textId="77777777" w:rsidR="0040569E" w:rsidRDefault="0040569E" w:rsidP="00405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Aviso n.º 09/SI/2020 – Empreendedorismo Qualificado e Criativo - </w:t>
      </w:r>
      <w:r>
        <w:rPr>
          <w:rStyle w:val="Forte"/>
          <w:rFonts w:ascii="Arial" w:hAnsi="Arial" w:cs="Arial"/>
          <w:color w:val="800000"/>
          <w:sz w:val="21"/>
          <w:szCs w:val="21"/>
        </w:rPr>
        <w:t>NOVO PRAZO 04/05/2020</w:t>
      </w:r>
    </w:p>
    <w:p w14:paraId="3ED245E2" w14:textId="77777777" w:rsidR="0040569E" w:rsidRDefault="0040569E" w:rsidP="0040569E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Consulte </w:t>
      </w:r>
      <w:hyperlink r:id="rId10" w:history="1"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>aqui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todos os concursos com candidaturas abertas.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</w:rPr>
        <w:br/>
        <w:t>No que se refere ao atendimento relacionado com a gestão de sistemas de incentivos, os contactos com os gestores de projeto no IAPMEI deverão ser efetuados preferencialmente através do sistema de mensagens disponível na App IAPMEI+ (</w:t>
      </w:r>
      <w:hyperlink r:id="rId11" w:history="1"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>Google Play</w:t>
        </w:r>
      </w:hyperlink>
      <w:r>
        <w:rPr>
          <w:rFonts w:ascii="Arial" w:hAnsi="Arial" w:cs="Arial"/>
          <w:color w:val="333333"/>
          <w:sz w:val="21"/>
          <w:szCs w:val="21"/>
        </w:rPr>
        <w:t> e </w:t>
      </w:r>
      <w:hyperlink r:id="rId12" w:history="1"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 xml:space="preserve">App </w:t>
        </w:r>
        <w:proofErr w:type="spellStart"/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>Store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) e na </w:t>
      </w:r>
      <w:hyperlink r:id="rId13" w:history="1"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>Consola Online IAPMEI+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, ou por </w:t>
      </w:r>
      <w:hyperlink r:id="rId14" w:history="1">
        <w:r>
          <w:rPr>
            <w:rStyle w:val="Hiperligao"/>
            <w:rFonts w:ascii="Arial" w:hAnsi="Arial" w:cs="Arial"/>
            <w:b/>
            <w:bCs/>
            <w:sz w:val="21"/>
            <w:szCs w:val="21"/>
          </w:rPr>
          <w:t>email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</w:rPr>
        <w:t>LINKS E DOCUMENTOS ÚTEIS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hyperlink r:id="rId15" w:history="1">
        <w:r>
          <w:rPr>
            <w:rStyle w:val="Hiperligao"/>
            <w:rFonts w:ascii="Arial" w:hAnsi="Arial" w:cs="Arial"/>
            <w:sz w:val="21"/>
            <w:szCs w:val="21"/>
          </w:rPr>
          <w:t>Perguntas Frequentes</w:t>
        </w:r>
      </w:hyperlink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hyperlink r:id="rId16" w:tgtFrame="_blank" w:history="1">
        <w:r>
          <w:rPr>
            <w:rStyle w:val="Hiperligao"/>
            <w:rFonts w:ascii="Arial" w:hAnsi="Arial" w:cs="Arial"/>
            <w:sz w:val="21"/>
            <w:szCs w:val="21"/>
          </w:rPr>
          <w:t>Orientação Técnica n.º 01/2020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| Estipula as medidas relativas à situação epidemiológica pelo novo coronavírus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hyperlink r:id="rId17" w:tgtFrame="_blank" w:history="1">
        <w:r>
          <w:rPr>
            <w:rStyle w:val="Hiperligao"/>
            <w:rFonts w:ascii="Arial" w:hAnsi="Arial" w:cs="Arial"/>
            <w:sz w:val="21"/>
            <w:szCs w:val="21"/>
          </w:rPr>
          <w:t>Deliberação n.º 8/2020, de 28 de março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| Determina Medidas Extraordinárias de Apoio à Economia e à Manutenção do Emprego no âmbito do Portugal 2020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hyperlink r:id="rId18" w:history="1">
        <w:r>
          <w:rPr>
            <w:rStyle w:val="Hiperligao"/>
            <w:rFonts w:ascii="Arial" w:hAnsi="Arial" w:cs="Arial"/>
            <w:sz w:val="21"/>
            <w:szCs w:val="21"/>
          </w:rPr>
          <w:t>Sistema de Incentivos à Inovação Produtiva</w:t>
        </w:r>
      </w:hyperlink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hyperlink r:id="rId19" w:history="1">
        <w:r>
          <w:rPr>
            <w:rStyle w:val="Hiperligao"/>
            <w:rFonts w:ascii="Arial" w:hAnsi="Arial" w:cs="Arial"/>
            <w:sz w:val="21"/>
            <w:szCs w:val="21"/>
          </w:rPr>
          <w:t>Sistema de Incentivos ao Empreendedorismo Qualificado e Criativo</w:t>
        </w:r>
      </w:hyperlink>
    </w:p>
    <w:p w14:paraId="618E5442" w14:textId="77777777" w:rsidR="0040569E" w:rsidRPr="0040569E" w:rsidRDefault="0040569E" w:rsidP="0040569E">
      <w:pPr>
        <w:rPr>
          <w:highlight w:val="yellow"/>
        </w:rPr>
      </w:pPr>
    </w:p>
    <w:sectPr w:rsidR="0040569E" w:rsidRPr="0040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1B"/>
    <w:multiLevelType w:val="hybridMultilevel"/>
    <w:tmpl w:val="A914D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3EAE"/>
    <w:multiLevelType w:val="multilevel"/>
    <w:tmpl w:val="B6C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14D"/>
    <w:multiLevelType w:val="multilevel"/>
    <w:tmpl w:val="ED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82730"/>
    <w:multiLevelType w:val="multilevel"/>
    <w:tmpl w:val="377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71BA5"/>
    <w:multiLevelType w:val="hybridMultilevel"/>
    <w:tmpl w:val="4CAE0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72079"/>
    <w:multiLevelType w:val="multilevel"/>
    <w:tmpl w:val="D86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E4C59"/>
    <w:multiLevelType w:val="multilevel"/>
    <w:tmpl w:val="749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5D29"/>
    <w:rsid w:val="00010825"/>
    <w:rsid w:val="0001232D"/>
    <w:rsid w:val="00012A5A"/>
    <w:rsid w:val="00022B9A"/>
    <w:rsid w:val="0002527E"/>
    <w:rsid w:val="00030757"/>
    <w:rsid w:val="000323D1"/>
    <w:rsid w:val="00033B63"/>
    <w:rsid w:val="00040EEF"/>
    <w:rsid w:val="00052F9C"/>
    <w:rsid w:val="000538F9"/>
    <w:rsid w:val="000602CF"/>
    <w:rsid w:val="00064264"/>
    <w:rsid w:val="0006649D"/>
    <w:rsid w:val="00066656"/>
    <w:rsid w:val="00070A06"/>
    <w:rsid w:val="00091807"/>
    <w:rsid w:val="000A145E"/>
    <w:rsid w:val="000B3F93"/>
    <w:rsid w:val="000B42FA"/>
    <w:rsid w:val="000B6E24"/>
    <w:rsid w:val="000C082B"/>
    <w:rsid w:val="000C2541"/>
    <w:rsid w:val="000C4093"/>
    <w:rsid w:val="000C4A80"/>
    <w:rsid w:val="000D005B"/>
    <w:rsid w:val="000D3743"/>
    <w:rsid w:val="000E792F"/>
    <w:rsid w:val="000F0D74"/>
    <w:rsid w:val="000F329D"/>
    <w:rsid w:val="000F7EE8"/>
    <w:rsid w:val="00104442"/>
    <w:rsid w:val="001078FF"/>
    <w:rsid w:val="00111DEF"/>
    <w:rsid w:val="001129C6"/>
    <w:rsid w:val="00122012"/>
    <w:rsid w:val="00126BC0"/>
    <w:rsid w:val="00132FF9"/>
    <w:rsid w:val="00135AA5"/>
    <w:rsid w:val="001460DB"/>
    <w:rsid w:val="00146C14"/>
    <w:rsid w:val="001613FD"/>
    <w:rsid w:val="001647B6"/>
    <w:rsid w:val="001651BF"/>
    <w:rsid w:val="001708C4"/>
    <w:rsid w:val="00173F3E"/>
    <w:rsid w:val="00180BC3"/>
    <w:rsid w:val="001943D4"/>
    <w:rsid w:val="001A0E4E"/>
    <w:rsid w:val="001E22C1"/>
    <w:rsid w:val="001E3857"/>
    <w:rsid w:val="001F2DEF"/>
    <w:rsid w:val="002016AF"/>
    <w:rsid w:val="00205499"/>
    <w:rsid w:val="002322AD"/>
    <w:rsid w:val="00243C00"/>
    <w:rsid w:val="0024541B"/>
    <w:rsid w:val="00247F95"/>
    <w:rsid w:val="00254828"/>
    <w:rsid w:val="002624AB"/>
    <w:rsid w:val="00274B8A"/>
    <w:rsid w:val="00275A24"/>
    <w:rsid w:val="00275D29"/>
    <w:rsid w:val="00277CEA"/>
    <w:rsid w:val="00283B05"/>
    <w:rsid w:val="00285ED4"/>
    <w:rsid w:val="00286965"/>
    <w:rsid w:val="0029434E"/>
    <w:rsid w:val="00295137"/>
    <w:rsid w:val="002A4F72"/>
    <w:rsid w:val="002A5D68"/>
    <w:rsid w:val="002A6056"/>
    <w:rsid w:val="002A6ADA"/>
    <w:rsid w:val="002B7DC5"/>
    <w:rsid w:val="002C2EBB"/>
    <w:rsid w:val="002C4717"/>
    <w:rsid w:val="002E0142"/>
    <w:rsid w:val="002E6606"/>
    <w:rsid w:val="00303A5D"/>
    <w:rsid w:val="0031667A"/>
    <w:rsid w:val="00324412"/>
    <w:rsid w:val="00325B6A"/>
    <w:rsid w:val="00327674"/>
    <w:rsid w:val="00336C0E"/>
    <w:rsid w:val="0034672D"/>
    <w:rsid w:val="00350CF8"/>
    <w:rsid w:val="00354585"/>
    <w:rsid w:val="00360BB3"/>
    <w:rsid w:val="00360EA3"/>
    <w:rsid w:val="0036144E"/>
    <w:rsid w:val="00364A21"/>
    <w:rsid w:val="00382314"/>
    <w:rsid w:val="00382DE4"/>
    <w:rsid w:val="003851BA"/>
    <w:rsid w:val="00385E21"/>
    <w:rsid w:val="00386243"/>
    <w:rsid w:val="00392C5C"/>
    <w:rsid w:val="003A0B5D"/>
    <w:rsid w:val="003A107F"/>
    <w:rsid w:val="003A2055"/>
    <w:rsid w:val="003B1C17"/>
    <w:rsid w:val="003C5DD2"/>
    <w:rsid w:val="0040569E"/>
    <w:rsid w:val="00423C0C"/>
    <w:rsid w:val="00433DE0"/>
    <w:rsid w:val="00437452"/>
    <w:rsid w:val="004433AB"/>
    <w:rsid w:val="00452D41"/>
    <w:rsid w:val="004543F9"/>
    <w:rsid w:val="00462F55"/>
    <w:rsid w:val="00466658"/>
    <w:rsid w:val="0048415F"/>
    <w:rsid w:val="00484A41"/>
    <w:rsid w:val="00493908"/>
    <w:rsid w:val="004A0875"/>
    <w:rsid w:val="004A258C"/>
    <w:rsid w:val="004A2621"/>
    <w:rsid w:val="004A77E8"/>
    <w:rsid w:val="004A7E9E"/>
    <w:rsid w:val="004B00BA"/>
    <w:rsid w:val="004B195B"/>
    <w:rsid w:val="004B314D"/>
    <w:rsid w:val="004B38A2"/>
    <w:rsid w:val="004C3AE2"/>
    <w:rsid w:val="004C5C1C"/>
    <w:rsid w:val="004C7F2F"/>
    <w:rsid w:val="004D2469"/>
    <w:rsid w:val="004D39C1"/>
    <w:rsid w:val="004F6E90"/>
    <w:rsid w:val="00501173"/>
    <w:rsid w:val="00511303"/>
    <w:rsid w:val="00511B2C"/>
    <w:rsid w:val="00522D1D"/>
    <w:rsid w:val="00527854"/>
    <w:rsid w:val="00542425"/>
    <w:rsid w:val="00544EE3"/>
    <w:rsid w:val="0055786A"/>
    <w:rsid w:val="00561E15"/>
    <w:rsid w:val="00573266"/>
    <w:rsid w:val="00580948"/>
    <w:rsid w:val="005820ED"/>
    <w:rsid w:val="00584324"/>
    <w:rsid w:val="00585BEA"/>
    <w:rsid w:val="005875DF"/>
    <w:rsid w:val="0059492D"/>
    <w:rsid w:val="005A3D3D"/>
    <w:rsid w:val="005A4100"/>
    <w:rsid w:val="005C7076"/>
    <w:rsid w:val="005D0F35"/>
    <w:rsid w:val="005D119B"/>
    <w:rsid w:val="005E7B9E"/>
    <w:rsid w:val="005F034A"/>
    <w:rsid w:val="005F3674"/>
    <w:rsid w:val="005F5E88"/>
    <w:rsid w:val="005F77A2"/>
    <w:rsid w:val="005F79CC"/>
    <w:rsid w:val="00604040"/>
    <w:rsid w:val="00606E2A"/>
    <w:rsid w:val="00607ACF"/>
    <w:rsid w:val="00617C03"/>
    <w:rsid w:val="00622178"/>
    <w:rsid w:val="00622483"/>
    <w:rsid w:val="00623B92"/>
    <w:rsid w:val="00625021"/>
    <w:rsid w:val="00633E89"/>
    <w:rsid w:val="00644E6E"/>
    <w:rsid w:val="00651DFB"/>
    <w:rsid w:val="0066555E"/>
    <w:rsid w:val="00674F4D"/>
    <w:rsid w:val="006753FB"/>
    <w:rsid w:val="00680A90"/>
    <w:rsid w:val="00686148"/>
    <w:rsid w:val="00687D99"/>
    <w:rsid w:val="006A0E7F"/>
    <w:rsid w:val="006A76CF"/>
    <w:rsid w:val="006B74D3"/>
    <w:rsid w:val="006C07BC"/>
    <w:rsid w:val="006C2F41"/>
    <w:rsid w:val="006C6F1E"/>
    <w:rsid w:val="006D07D5"/>
    <w:rsid w:val="006D1D8C"/>
    <w:rsid w:val="006D3A95"/>
    <w:rsid w:val="006D5DD2"/>
    <w:rsid w:val="006E155E"/>
    <w:rsid w:val="006E4FC9"/>
    <w:rsid w:val="006F6027"/>
    <w:rsid w:val="00703490"/>
    <w:rsid w:val="0070552B"/>
    <w:rsid w:val="00710D99"/>
    <w:rsid w:val="00713DA2"/>
    <w:rsid w:val="00725EEF"/>
    <w:rsid w:val="00736B5D"/>
    <w:rsid w:val="007652D8"/>
    <w:rsid w:val="0076536E"/>
    <w:rsid w:val="0076567F"/>
    <w:rsid w:val="00771A44"/>
    <w:rsid w:val="007816E3"/>
    <w:rsid w:val="007838FC"/>
    <w:rsid w:val="007841F4"/>
    <w:rsid w:val="00790CC6"/>
    <w:rsid w:val="00791CE5"/>
    <w:rsid w:val="00794430"/>
    <w:rsid w:val="00797811"/>
    <w:rsid w:val="007A121C"/>
    <w:rsid w:val="007A48BB"/>
    <w:rsid w:val="007B18C3"/>
    <w:rsid w:val="007B41CB"/>
    <w:rsid w:val="007B6E7A"/>
    <w:rsid w:val="007C0483"/>
    <w:rsid w:val="007C7971"/>
    <w:rsid w:val="007D7470"/>
    <w:rsid w:val="00801D93"/>
    <w:rsid w:val="008116E9"/>
    <w:rsid w:val="008226AC"/>
    <w:rsid w:val="00827E73"/>
    <w:rsid w:val="00834BEE"/>
    <w:rsid w:val="00842DE1"/>
    <w:rsid w:val="00845B48"/>
    <w:rsid w:val="008539B4"/>
    <w:rsid w:val="0085510B"/>
    <w:rsid w:val="00857F07"/>
    <w:rsid w:val="00861C61"/>
    <w:rsid w:val="0087003C"/>
    <w:rsid w:val="0087385C"/>
    <w:rsid w:val="008779E1"/>
    <w:rsid w:val="00884F03"/>
    <w:rsid w:val="00890E38"/>
    <w:rsid w:val="00891EE3"/>
    <w:rsid w:val="008A0082"/>
    <w:rsid w:val="008A103A"/>
    <w:rsid w:val="008A1EDF"/>
    <w:rsid w:val="008A6F38"/>
    <w:rsid w:val="008B080D"/>
    <w:rsid w:val="008B0BCB"/>
    <w:rsid w:val="008B359A"/>
    <w:rsid w:val="008B66B1"/>
    <w:rsid w:val="008B66D0"/>
    <w:rsid w:val="008B6D3B"/>
    <w:rsid w:val="008C08FF"/>
    <w:rsid w:val="008C47EE"/>
    <w:rsid w:val="008D0F57"/>
    <w:rsid w:val="008D34F4"/>
    <w:rsid w:val="008D4118"/>
    <w:rsid w:val="008D627C"/>
    <w:rsid w:val="008E2943"/>
    <w:rsid w:val="008E6BD7"/>
    <w:rsid w:val="008E7528"/>
    <w:rsid w:val="008F29B3"/>
    <w:rsid w:val="008F3206"/>
    <w:rsid w:val="008F50EE"/>
    <w:rsid w:val="008F575F"/>
    <w:rsid w:val="008F7BC3"/>
    <w:rsid w:val="009177B3"/>
    <w:rsid w:val="009218C2"/>
    <w:rsid w:val="009252A6"/>
    <w:rsid w:val="00931E18"/>
    <w:rsid w:val="0093263E"/>
    <w:rsid w:val="00954E8D"/>
    <w:rsid w:val="0095679A"/>
    <w:rsid w:val="00957158"/>
    <w:rsid w:val="0095796F"/>
    <w:rsid w:val="009627EC"/>
    <w:rsid w:val="0096301E"/>
    <w:rsid w:val="009631CE"/>
    <w:rsid w:val="0097761A"/>
    <w:rsid w:val="00977DC2"/>
    <w:rsid w:val="009835C6"/>
    <w:rsid w:val="00983B84"/>
    <w:rsid w:val="00985080"/>
    <w:rsid w:val="00992A55"/>
    <w:rsid w:val="00995546"/>
    <w:rsid w:val="009A345D"/>
    <w:rsid w:val="009A4C79"/>
    <w:rsid w:val="009A7F4B"/>
    <w:rsid w:val="009B36B3"/>
    <w:rsid w:val="009B5222"/>
    <w:rsid w:val="009C2473"/>
    <w:rsid w:val="009C5BBE"/>
    <w:rsid w:val="009C6A36"/>
    <w:rsid w:val="009F2800"/>
    <w:rsid w:val="00A020F3"/>
    <w:rsid w:val="00A10015"/>
    <w:rsid w:val="00A11D6A"/>
    <w:rsid w:val="00A25CC6"/>
    <w:rsid w:val="00A260A3"/>
    <w:rsid w:val="00A317CC"/>
    <w:rsid w:val="00A37125"/>
    <w:rsid w:val="00A4308A"/>
    <w:rsid w:val="00A44B73"/>
    <w:rsid w:val="00A4503D"/>
    <w:rsid w:val="00A47F58"/>
    <w:rsid w:val="00A60DC7"/>
    <w:rsid w:val="00A626FD"/>
    <w:rsid w:val="00A62EFE"/>
    <w:rsid w:val="00A97F1B"/>
    <w:rsid w:val="00AC20C3"/>
    <w:rsid w:val="00AC4BDB"/>
    <w:rsid w:val="00AD06F9"/>
    <w:rsid w:val="00AD22B8"/>
    <w:rsid w:val="00AE45C7"/>
    <w:rsid w:val="00AE54E4"/>
    <w:rsid w:val="00AE77A8"/>
    <w:rsid w:val="00AF51D8"/>
    <w:rsid w:val="00B00CFF"/>
    <w:rsid w:val="00B02153"/>
    <w:rsid w:val="00B0299D"/>
    <w:rsid w:val="00B0721E"/>
    <w:rsid w:val="00B07E62"/>
    <w:rsid w:val="00B1314E"/>
    <w:rsid w:val="00B179A0"/>
    <w:rsid w:val="00B17FB5"/>
    <w:rsid w:val="00B2263A"/>
    <w:rsid w:val="00B27544"/>
    <w:rsid w:val="00B33542"/>
    <w:rsid w:val="00B343FB"/>
    <w:rsid w:val="00B503D8"/>
    <w:rsid w:val="00B63111"/>
    <w:rsid w:val="00B67F7F"/>
    <w:rsid w:val="00B70D0B"/>
    <w:rsid w:val="00B73048"/>
    <w:rsid w:val="00B76D4A"/>
    <w:rsid w:val="00B7764D"/>
    <w:rsid w:val="00B8139C"/>
    <w:rsid w:val="00B86354"/>
    <w:rsid w:val="00B97006"/>
    <w:rsid w:val="00BA0FBD"/>
    <w:rsid w:val="00BA127C"/>
    <w:rsid w:val="00BA4422"/>
    <w:rsid w:val="00BB59EA"/>
    <w:rsid w:val="00BB5A15"/>
    <w:rsid w:val="00BC2191"/>
    <w:rsid w:val="00BD0C6B"/>
    <w:rsid w:val="00BD617B"/>
    <w:rsid w:val="00BE1712"/>
    <w:rsid w:val="00BE1B27"/>
    <w:rsid w:val="00BF0FA8"/>
    <w:rsid w:val="00BF10B2"/>
    <w:rsid w:val="00C0738A"/>
    <w:rsid w:val="00C12520"/>
    <w:rsid w:val="00C1269B"/>
    <w:rsid w:val="00C16022"/>
    <w:rsid w:val="00C1678C"/>
    <w:rsid w:val="00C2084A"/>
    <w:rsid w:val="00C236D7"/>
    <w:rsid w:val="00C33AFC"/>
    <w:rsid w:val="00C5688B"/>
    <w:rsid w:val="00C60FDD"/>
    <w:rsid w:val="00C610B2"/>
    <w:rsid w:val="00C64D03"/>
    <w:rsid w:val="00C67D6F"/>
    <w:rsid w:val="00C73498"/>
    <w:rsid w:val="00C841B2"/>
    <w:rsid w:val="00C928F4"/>
    <w:rsid w:val="00C9427D"/>
    <w:rsid w:val="00CA1E0B"/>
    <w:rsid w:val="00CA480F"/>
    <w:rsid w:val="00CB640A"/>
    <w:rsid w:val="00CB655F"/>
    <w:rsid w:val="00CC0EEA"/>
    <w:rsid w:val="00CC21A6"/>
    <w:rsid w:val="00CC443E"/>
    <w:rsid w:val="00CC727F"/>
    <w:rsid w:val="00CD47B4"/>
    <w:rsid w:val="00CD606D"/>
    <w:rsid w:val="00CE78A1"/>
    <w:rsid w:val="00D268AD"/>
    <w:rsid w:val="00D362B5"/>
    <w:rsid w:val="00D40006"/>
    <w:rsid w:val="00D4122C"/>
    <w:rsid w:val="00D422D9"/>
    <w:rsid w:val="00D42E7A"/>
    <w:rsid w:val="00D62807"/>
    <w:rsid w:val="00D65CB1"/>
    <w:rsid w:val="00D7238B"/>
    <w:rsid w:val="00D7250F"/>
    <w:rsid w:val="00D86D3A"/>
    <w:rsid w:val="00D92C46"/>
    <w:rsid w:val="00D95AA3"/>
    <w:rsid w:val="00DA76FF"/>
    <w:rsid w:val="00DB11FD"/>
    <w:rsid w:val="00DB3217"/>
    <w:rsid w:val="00DB5E6B"/>
    <w:rsid w:val="00DB628A"/>
    <w:rsid w:val="00DC0720"/>
    <w:rsid w:val="00DC1A98"/>
    <w:rsid w:val="00DC37F4"/>
    <w:rsid w:val="00DD32B8"/>
    <w:rsid w:val="00DF4694"/>
    <w:rsid w:val="00E17515"/>
    <w:rsid w:val="00E33F23"/>
    <w:rsid w:val="00E5202D"/>
    <w:rsid w:val="00E52161"/>
    <w:rsid w:val="00E54235"/>
    <w:rsid w:val="00E55A8C"/>
    <w:rsid w:val="00E60F0D"/>
    <w:rsid w:val="00E6558E"/>
    <w:rsid w:val="00E761CA"/>
    <w:rsid w:val="00E930FF"/>
    <w:rsid w:val="00EB47CF"/>
    <w:rsid w:val="00EB536C"/>
    <w:rsid w:val="00EE6ACF"/>
    <w:rsid w:val="00EF5923"/>
    <w:rsid w:val="00F0016B"/>
    <w:rsid w:val="00F04B83"/>
    <w:rsid w:val="00F05A9E"/>
    <w:rsid w:val="00F22031"/>
    <w:rsid w:val="00F40AAE"/>
    <w:rsid w:val="00F468D4"/>
    <w:rsid w:val="00F56065"/>
    <w:rsid w:val="00F67CB3"/>
    <w:rsid w:val="00F747B1"/>
    <w:rsid w:val="00F7496D"/>
    <w:rsid w:val="00F770CD"/>
    <w:rsid w:val="00F802C7"/>
    <w:rsid w:val="00F91E7C"/>
    <w:rsid w:val="00F931BD"/>
    <w:rsid w:val="00FA57EB"/>
    <w:rsid w:val="00FA5C95"/>
    <w:rsid w:val="00FB5619"/>
    <w:rsid w:val="00FB5BAD"/>
    <w:rsid w:val="00FC3C3E"/>
    <w:rsid w:val="00FC5B02"/>
    <w:rsid w:val="00FD4520"/>
    <w:rsid w:val="00FD5782"/>
    <w:rsid w:val="00FD6705"/>
    <w:rsid w:val="00FE3E04"/>
    <w:rsid w:val="00FF1083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0040"/>
  <w15:chartTrackingRefBased/>
  <w15:docId w15:val="{A13A4E02-03EC-4BF9-B6D1-AF4EA9C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75D29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75D2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80A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573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7290">
                  <w:marLeft w:val="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ete2020.gov.pt/Orientacoes-Tecnicas/detalhe/OT-01-2020" TargetMode="External"/><Relationship Id="rId13" Type="http://schemas.openxmlformats.org/officeDocument/2006/relationships/hyperlink" Target="https://webapps.iapmei.pt/Consola/Login.aspx" TargetMode="External"/><Relationship Id="rId18" Type="http://schemas.openxmlformats.org/officeDocument/2006/relationships/hyperlink" Target="https://www.iapmei.pt/PRODUTOS-E-SERVICOS/Incentivos-Financiamento/Sistemas-de-Incentivos/Incentivos-Portugal-2020/SI-Inovacao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tunes.apple.com/pt/app/iapmei/id1452273177?mt=8" TargetMode="External"/><Relationship Id="rId17" Type="http://schemas.openxmlformats.org/officeDocument/2006/relationships/hyperlink" Target="https://www.adcoesao.pt/sites/default/files/deliberacao_cic_covid19_24mar20_vsf_assi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pete2020.gov.pt/Orientacoes-Tecnicas/detalhe/OT-01-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pt.iapmei.app&amp;hl=pt_P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apmei.pt/getattachment/Paginas/COVID-19-Medidas-de-Apoio-as-Empresas-PT2020/FAQ-Medidas-PT2020-COVID-19.pdf.aspx?lang=pt-PT" TargetMode="External"/><Relationship Id="rId10" Type="http://schemas.openxmlformats.org/officeDocument/2006/relationships/hyperlink" Target="https://www.iapmei.pt/PRODUTOS-E-SERVICOS/Incentivos-Financiamento/Sistemas-de-Incentivos/Concursos-abertos.aspx" TargetMode="External"/><Relationship Id="rId19" Type="http://schemas.openxmlformats.org/officeDocument/2006/relationships/hyperlink" Target="https://www.iapmei.pt/PRODUTOS-E-SERVICOS/Incentivos-Financiamento/Sistemas-de-Incentivos/Incentivos-Portugal-2020/SI-Empreendedorismo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dcoesao.pt/sites/default/files/deliberacao_cic_covid19_24mar20_vsf_assin.pdf" TargetMode="External"/><Relationship Id="rId14" Type="http://schemas.openxmlformats.org/officeDocument/2006/relationships/hyperlink" Target="mailto:info@iapmei.pt?subject=Incentivos%20PT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3E989D26819C42BF57514C3A6A2F91" ma:contentTypeVersion="0" ma:contentTypeDescription="Criar um novo documento." ma:contentTypeScope="" ma:versionID="97d4a7b84778736f794bb2b81c6e6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fc08578836070f6c61c68061254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DA4D1-6766-4BD4-8BE1-83B7905E9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D51F9-1526-4036-A46F-903F8EF3A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34BA3-1125-42CB-AE30-32911631DCB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Rocha B Reis Ribeiro</dc:creator>
  <cp:keywords/>
  <dc:description/>
  <cp:lastModifiedBy>Carolina Rocha B Reis Ribeiro</cp:lastModifiedBy>
  <cp:revision>2</cp:revision>
  <dcterms:created xsi:type="dcterms:W3CDTF">2020-04-02T15:06:00Z</dcterms:created>
  <dcterms:modified xsi:type="dcterms:W3CDTF">2020-04-02T15:06:00Z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0x0101001F3E989D26819C42BF57514C3A6A2F91</vt:lpwstr>
  </property>
</Properties>
</file>